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6C8" w:rsidRDefault="00E976C8" w:rsidP="00E976C8">
      <w:pPr>
        <w:outlineLvl w:val="0"/>
      </w:pPr>
      <w:r>
        <w:rPr>
          <w:b/>
          <w:bCs/>
          <w:lang w:val="en-US"/>
        </w:rPr>
        <w:t>From:</w:t>
      </w:r>
      <w:r>
        <w:rPr>
          <w:lang w:val="en-US"/>
        </w:rPr>
        <w:t xml:space="preserve"> I-</w:t>
      </w:r>
      <w:proofErr w:type="spellStart"/>
      <w:r>
        <w:rPr>
          <w:lang w:val="en-US"/>
        </w:rPr>
        <w:t>SEMregistration</w:t>
      </w:r>
      <w:proofErr w:type="spellEnd"/>
      <w:r>
        <w:rPr>
          <w:lang w:val="en-US"/>
        </w:rPr>
        <w:t xml:space="preserve"> [</w:t>
      </w:r>
      <w:hyperlink r:id="rId5" w:history="1">
        <w:r>
          <w:rPr>
            <w:rStyle w:val="Hyperlink"/>
            <w:lang w:val="en-US"/>
          </w:rPr>
          <w:t>mailto:I-SEMregistration@sem-o.com</w:t>
        </w:r>
      </w:hyperlink>
      <w:r>
        <w:rPr>
          <w:lang w:val="en-US"/>
        </w:rPr>
        <w:t xml:space="preserve">] </w:t>
      </w:r>
      <w:r>
        <w:rPr>
          <w:lang w:val="en-US"/>
        </w:rPr>
        <w:br/>
      </w:r>
      <w:r>
        <w:rPr>
          <w:b/>
          <w:bCs/>
          <w:lang w:val="en-US"/>
        </w:rPr>
        <w:t>Subject:</w:t>
      </w:r>
      <w:r>
        <w:rPr>
          <w:lang w:val="en-US"/>
        </w:rPr>
        <w:t xml:space="preserve"> Important Notice for Small Participants</w:t>
      </w:r>
      <w:r>
        <w:rPr>
          <w:lang w:val="en-US"/>
        </w:rPr>
        <w:br/>
      </w:r>
    </w:p>
    <w:p w:rsidR="00E976C8" w:rsidRDefault="00E976C8" w:rsidP="00E976C8">
      <w:pPr>
        <w:rPr>
          <w:lang w:val="en-GB"/>
        </w:rPr>
      </w:pPr>
      <w:r>
        <w:rPr>
          <w:lang w:val="en-GB"/>
        </w:rPr>
        <w:t>Dear Participants,</w:t>
      </w:r>
    </w:p>
    <w:p w:rsidR="00E976C8" w:rsidRDefault="00E976C8" w:rsidP="00E976C8">
      <w:pPr>
        <w:rPr>
          <w:lang w:val="en-GB"/>
        </w:rPr>
      </w:pPr>
    </w:p>
    <w:p w:rsidR="00E976C8" w:rsidRDefault="00E976C8" w:rsidP="00E976C8">
      <w:pPr>
        <w:rPr>
          <w:lang w:val="en-GB"/>
        </w:rPr>
      </w:pPr>
      <w:r>
        <w:rPr>
          <w:lang w:val="en-GB"/>
        </w:rPr>
        <w:t>This email below outlines key</w:t>
      </w:r>
      <w:bookmarkStart w:id="0" w:name="_GoBack"/>
      <w:bookmarkEnd w:id="0"/>
      <w:r>
        <w:rPr>
          <w:lang w:val="en-GB"/>
        </w:rPr>
        <w:t>.  </w:t>
      </w:r>
    </w:p>
    <w:p w:rsidR="00E976C8" w:rsidRDefault="00E976C8" w:rsidP="00E976C8">
      <w:pPr>
        <w:rPr>
          <w:color w:val="1F497D"/>
          <w:lang w:val="en-GB"/>
        </w:rPr>
      </w:pPr>
    </w:p>
    <w:p w:rsidR="00E976C8" w:rsidRDefault="00E976C8" w:rsidP="00E976C8">
      <w:pPr>
        <w:rPr>
          <w:b/>
          <w:bCs/>
          <w:u w:val="single"/>
          <w:lang w:val="en-GB"/>
        </w:rPr>
      </w:pPr>
      <w:r>
        <w:rPr>
          <w:b/>
          <w:bCs/>
          <w:highlight w:val="yellow"/>
          <w:u w:val="single"/>
          <w:lang w:val="en-GB"/>
        </w:rPr>
        <w:t>Capacity Market:</w:t>
      </w:r>
    </w:p>
    <w:p w:rsidR="00E976C8" w:rsidRDefault="00E976C8" w:rsidP="00E976C8">
      <w:pPr>
        <w:rPr>
          <w:lang w:val="en-GB"/>
        </w:rPr>
      </w:pPr>
      <w:r>
        <w:rPr>
          <w:lang w:val="en-GB"/>
        </w:rPr>
        <w:t>This is a reminder that if you wish to part-take in the T-1 Capacity Auction in December 2017 for the Capacity Year 2018/19, registration and qualification forms must be received by</w:t>
      </w:r>
      <w:r>
        <w:rPr>
          <w:color w:val="1F497D"/>
          <w:lang w:val="en-GB"/>
        </w:rPr>
        <w:t xml:space="preserve"> Thursday</w:t>
      </w:r>
      <w:r>
        <w:rPr>
          <w:lang w:val="en-GB"/>
        </w:rPr>
        <w:t xml:space="preserve"> August 3</w:t>
      </w:r>
      <w:r>
        <w:rPr>
          <w:vertAlign w:val="superscript"/>
          <w:lang w:val="en-GB"/>
        </w:rPr>
        <w:t>rd</w:t>
      </w:r>
      <w:r>
        <w:rPr>
          <w:lang w:val="en-GB"/>
        </w:rPr>
        <w:t xml:space="preserve">. </w:t>
      </w:r>
    </w:p>
    <w:p w:rsidR="00E976C8" w:rsidRDefault="00E976C8" w:rsidP="00E976C8">
      <w:pPr>
        <w:rPr>
          <w:b/>
          <w:bCs/>
          <w:u w:val="single"/>
          <w:lang w:val="en-GB"/>
        </w:rPr>
      </w:pPr>
      <w:r>
        <w:rPr>
          <w:b/>
          <w:bCs/>
          <w:color w:val="FF0000"/>
          <w:lang w:val="en-GB"/>
        </w:rPr>
        <w:t xml:space="preserve">Late qualification data for the 2018/2019 T – 1 auction will </w:t>
      </w:r>
      <w:r>
        <w:rPr>
          <w:b/>
          <w:bCs/>
          <w:color w:val="FF0000"/>
          <w:u w:val="single"/>
          <w:lang w:val="en-GB"/>
        </w:rPr>
        <w:t>not be accepted</w:t>
      </w:r>
      <w:r>
        <w:rPr>
          <w:b/>
          <w:bCs/>
          <w:color w:val="FF0000"/>
          <w:lang w:val="en-GB"/>
        </w:rPr>
        <w:t>.</w:t>
      </w:r>
      <w:r>
        <w:rPr>
          <w:b/>
          <w:bCs/>
          <w:color w:val="FF0000"/>
          <w:u w:val="single"/>
          <w:lang w:val="en-GB"/>
        </w:rPr>
        <w:t xml:space="preserve"> </w:t>
      </w:r>
    </w:p>
    <w:p w:rsidR="00E976C8" w:rsidRDefault="00E976C8" w:rsidP="00E976C8">
      <w:pPr>
        <w:rPr>
          <w:b/>
          <w:bCs/>
          <w:u w:val="single"/>
          <w:lang w:val="en-GB"/>
        </w:rPr>
      </w:pPr>
    </w:p>
    <w:p w:rsidR="00E976C8" w:rsidRDefault="00E976C8" w:rsidP="00E976C8">
      <w:pPr>
        <w:rPr>
          <w:lang w:val="en-GB"/>
        </w:rPr>
      </w:pPr>
      <w:r>
        <w:rPr>
          <w:lang w:val="en-GB"/>
        </w:rPr>
        <w:t>The following Capacity Market guides have been published on the website:</w:t>
      </w:r>
    </w:p>
    <w:p w:rsidR="00E976C8" w:rsidRDefault="00E976C8" w:rsidP="00E976C8">
      <w:pPr>
        <w:numPr>
          <w:ilvl w:val="0"/>
          <w:numId w:val="1"/>
        </w:numPr>
        <w:rPr>
          <w:rFonts w:eastAsia="Times New Roman"/>
          <w:lang w:val="en-GB"/>
        </w:rPr>
      </w:pPr>
      <w:hyperlink r:id="rId6" w:history="1">
        <w:r>
          <w:rPr>
            <w:rStyle w:val="Hyperlink"/>
            <w:rFonts w:eastAsia="Times New Roman"/>
            <w:lang w:val="en-GB"/>
          </w:rPr>
          <w:t>A Helicopter Guide to Understanding the Capacity Market</w:t>
        </w:r>
      </w:hyperlink>
    </w:p>
    <w:p w:rsidR="00E976C8" w:rsidRDefault="00E976C8" w:rsidP="00E976C8">
      <w:pPr>
        <w:numPr>
          <w:ilvl w:val="0"/>
          <w:numId w:val="1"/>
        </w:numPr>
        <w:rPr>
          <w:rFonts w:eastAsia="Times New Roman"/>
          <w:lang w:val="en-GB"/>
        </w:rPr>
      </w:pPr>
      <w:hyperlink r:id="rId7" w:history="1">
        <w:r>
          <w:rPr>
            <w:rStyle w:val="Hyperlink"/>
            <w:rFonts w:eastAsia="Times New Roman"/>
            <w:lang w:val="en-GB"/>
          </w:rPr>
          <w:t>A Quick Guide to Understanding Qualification</w:t>
        </w:r>
      </w:hyperlink>
    </w:p>
    <w:p w:rsidR="00E976C8" w:rsidRDefault="00E976C8" w:rsidP="00E976C8">
      <w:pPr>
        <w:rPr>
          <w:b/>
          <w:bCs/>
          <w:color w:val="1F497D"/>
          <w:u w:val="single"/>
          <w:lang w:val="en-GB"/>
        </w:rPr>
      </w:pPr>
    </w:p>
    <w:p w:rsidR="00E976C8" w:rsidRDefault="00E976C8" w:rsidP="00E976C8">
      <w:pPr>
        <w:rPr>
          <w:b/>
          <w:bCs/>
          <w:highlight w:val="yellow"/>
          <w:u w:val="single"/>
          <w:lang w:val="en-GB"/>
        </w:rPr>
      </w:pPr>
      <w:proofErr w:type="spellStart"/>
      <w:r>
        <w:rPr>
          <w:b/>
          <w:bCs/>
          <w:highlight w:val="yellow"/>
          <w:u w:val="single"/>
          <w:lang w:val="en-GB"/>
        </w:rPr>
        <w:t>SEMOpx</w:t>
      </w:r>
      <w:proofErr w:type="spellEnd"/>
      <w:r>
        <w:rPr>
          <w:b/>
          <w:bCs/>
          <w:highlight w:val="yellow"/>
          <w:u w:val="single"/>
          <w:lang w:val="en-GB"/>
        </w:rPr>
        <w:t>:</w:t>
      </w:r>
    </w:p>
    <w:p w:rsidR="00E976C8" w:rsidRDefault="00E976C8" w:rsidP="00E976C8">
      <w:pPr>
        <w:rPr>
          <w:lang w:val="en-GB"/>
        </w:rPr>
      </w:pPr>
      <w:proofErr w:type="spellStart"/>
      <w:r>
        <w:rPr>
          <w:lang w:val="en-GB"/>
        </w:rPr>
        <w:t>SEMOpx</w:t>
      </w:r>
      <w:proofErr w:type="spellEnd"/>
      <w:r>
        <w:rPr>
          <w:lang w:val="en-GB"/>
        </w:rPr>
        <w:t xml:space="preserve"> forms are due on</w:t>
      </w:r>
      <w:r>
        <w:rPr>
          <w:color w:val="1F497D"/>
          <w:lang w:val="en-GB"/>
        </w:rPr>
        <w:t xml:space="preserve"> </w:t>
      </w:r>
      <w:r>
        <w:rPr>
          <w:lang w:val="en-GB"/>
        </w:rPr>
        <w:t>Monday 7</w:t>
      </w:r>
      <w:r>
        <w:rPr>
          <w:vertAlign w:val="superscript"/>
          <w:lang w:val="en-GB"/>
        </w:rPr>
        <w:t>th</w:t>
      </w:r>
      <w:r>
        <w:rPr>
          <w:lang w:val="en-GB"/>
        </w:rPr>
        <w:t xml:space="preserve"> August. See note below regarding the upcoming workshop for details on late submissions.</w:t>
      </w:r>
    </w:p>
    <w:p w:rsidR="00E976C8" w:rsidRDefault="00E976C8" w:rsidP="00E976C8">
      <w:pPr>
        <w:rPr>
          <w:color w:val="1F497D"/>
          <w:lang w:val="en-GB"/>
        </w:rPr>
      </w:pPr>
    </w:p>
    <w:p w:rsidR="00E976C8" w:rsidRDefault="00E976C8" w:rsidP="00E976C8">
      <w:pPr>
        <w:rPr>
          <w:color w:val="1F497D"/>
          <w:lang w:val="en-GB"/>
        </w:rPr>
      </w:pPr>
      <w:r>
        <w:rPr>
          <w:lang w:val="en-GB"/>
        </w:rPr>
        <w:t xml:space="preserve">The RA’s published the </w:t>
      </w:r>
      <w:hyperlink r:id="rId8" w:history="1">
        <w:proofErr w:type="spellStart"/>
        <w:r>
          <w:rPr>
            <w:rStyle w:val="Hyperlink"/>
            <w:lang w:val="en-GB"/>
          </w:rPr>
          <w:t>SEMOpx</w:t>
        </w:r>
        <w:proofErr w:type="spellEnd"/>
        <w:r>
          <w:rPr>
            <w:rStyle w:val="Hyperlink"/>
            <w:lang w:val="en-GB"/>
          </w:rPr>
          <w:t xml:space="preserve"> Price Control</w:t>
        </w:r>
      </w:hyperlink>
      <w:r>
        <w:rPr>
          <w:lang w:val="en-GB"/>
        </w:rPr>
        <w:t xml:space="preserve"> </w:t>
      </w:r>
      <w:r>
        <w:rPr>
          <w:color w:val="1F497D"/>
          <w:lang w:val="en-GB"/>
        </w:rPr>
        <w:t> </w:t>
      </w:r>
      <w:r>
        <w:rPr>
          <w:lang w:val="en-GB"/>
        </w:rPr>
        <w:t>Draft Determination document on Friday 28</w:t>
      </w:r>
      <w:r>
        <w:rPr>
          <w:vertAlign w:val="superscript"/>
          <w:lang w:val="en-GB"/>
        </w:rPr>
        <w:t>th</w:t>
      </w:r>
      <w:r>
        <w:rPr>
          <w:lang w:val="en-GB"/>
        </w:rPr>
        <w:t xml:space="preserve"> of July.</w:t>
      </w:r>
    </w:p>
    <w:p w:rsidR="00E976C8" w:rsidRDefault="00E976C8" w:rsidP="00E976C8">
      <w:pPr>
        <w:rPr>
          <w:color w:val="1F497D"/>
          <w:lang w:val="en-GB"/>
        </w:rPr>
      </w:pPr>
    </w:p>
    <w:p w:rsidR="00E976C8" w:rsidRDefault="00E976C8" w:rsidP="00E976C8">
      <w:pPr>
        <w:rPr>
          <w:lang w:val="en-GB"/>
        </w:rPr>
      </w:pPr>
      <w:r>
        <w:rPr>
          <w:lang w:val="en-GB"/>
        </w:rPr>
        <w:t xml:space="preserve">To summarise, </w:t>
      </w:r>
      <w:r>
        <w:rPr>
          <w:b/>
          <w:bCs/>
          <w:i/>
          <w:iCs/>
          <w:lang w:val="en-GB"/>
        </w:rPr>
        <w:t>Indicative</w:t>
      </w:r>
      <w:r>
        <w:rPr>
          <w:lang w:val="en-GB"/>
        </w:rPr>
        <w:t xml:space="preserve"> fees are as follows:</w:t>
      </w:r>
    </w:p>
    <w:p w:rsidR="00E976C8" w:rsidRDefault="00E976C8" w:rsidP="00E976C8">
      <w:r>
        <w:t>Once off cost                     €5,000 (per member not per unit)</w:t>
      </w:r>
    </w:p>
    <w:p w:rsidR="00E976C8" w:rsidRDefault="00E976C8" w:rsidP="00E976C8">
      <w:r>
        <w:t>Annual fixed cost               €5,000 (per member not per unit)</w:t>
      </w:r>
    </w:p>
    <w:p w:rsidR="00E976C8" w:rsidRDefault="00E976C8" w:rsidP="00E976C8">
      <w:r>
        <w:t>Variable cost                      €0.041/MWh</w:t>
      </w:r>
    </w:p>
    <w:p w:rsidR="00E976C8" w:rsidRDefault="00E976C8" w:rsidP="00E976C8">
      <w:pPr>
        <w:rPr>
          <w:b/>
          <w:bCs/>
          <w:u w:val="single"/>
          <w:lang w:val="en-GB"/>
        </w:rPr>
      </w:pPr>
    </w:p>
    <w:p w:rsidR="00E976C8" w:rsidRDefault="00E976C8" w:rsidP="00E976C8">
      <w:r>
        <w:t xml:space="preserve">An RA decision on fees </w:t>
      </w:r>
      <w:proofErr w:type="gramStart"/>
      <w:r>
        <w:t>is  expected</w:t>
      </w:r>
      <w:proofErr w:type="gramEnd"/>
      <w:r>
        <w:t xml:space="preserve"> in October this year.</w:t>
      </w:r>
    </w:p>
    <w:p w:rsidR="00E976C8" w:rsidRDefault="00E976C8" w:rsidP="00E976C8">
      <w:pPr>
        <w:rPr>
          <w:b/>
          <w:bCs/>
          <w:color w:val="1F497D"/>
          <w:highlight w:val="yellow"/>
          <w:u w:val="single"/>
          <w:lang w:val="en-GB"/>
        </w:rPr>
      </w:pPr>
    </w:p>
    <w:p w:rsidR="00E976C8" w:rsidRDefault="00E976C8" w:rsidP="00E976C8">
      <w:pPr>
        <w:rPr>
          <w:b/>
          <w:bCs/>
          <w:color w:val="1F497D"/>
          <w:highlight w:val="yellow"/>
          <w:u w:val="single"/>
          <w:lang w:val="en-GB"/>
        </w:rPr>
      </w:pPr>
    </w:p>
    <w:p w:rsidR="00E976C8" w:rsidRDefault="00E976C8" w:rsidP="00E976C8">
      <w:pPr>
        <w:rPr>
          <w:b/>
          <w:bCs/>
          <w:u w:val="single"/>
          <w:lang w:val="en-GB"/>
        </w:rPr>
      </w:pPr>
      <w:r>
        <w:rPr>
          <w:b/>
          <w:bCs/>
          <w:highlight w:val="yellow"/>
          <w:u w:val="single"/>
          <w:lang w:val="en-GB"/>
        </w:rPr>
        <w:t>Upcoming workshop:</w:t>
      </w:r>
    </w:p>
    <w:p w:rsidR="00E976C8" w:rsidRDefault="00E976C8" w:rsidP="00E976C8">
      <w:pPr>
        <w:rPr>
          <w:color w:val="1F497D"/>
          <w:lang w:val="en-GB"/>
        </w:rPr>
      </w:pPr>
      <w:r>
        <w:rPr>
          <w:lang w:val="en-GB"/>
        </w:rPr>
        <w:t xml:space="preserve">SEMO are currently preparing to hold a workshop for smaller participants towards mid-August. The content of these workshops is currently being developed, and will include an overview of each market, identify who should, could and must participant in each market, outline a roadmap for key dates, and discuss the next steps. To that end, the I-SEM registration team will accept updates to registration forms for </w:t>
      </w:r>
      <w:proofErr w:type="spellStart"/>
      <w:r>
        <w:rPr>
          <w:lang w:val="en-GB"/>
        </w:rPr>
        <w:t>SEMOpx</w:t>
      </w:r>
      <w:proofErr w:type="spellEnd"/>
      <w:r>
        <w:rPr>
          <w:lang w:val="en-GB"/>
        </w:rPr>
        <w:t xml:space="preserve"> (S01, S02, S06 and S07) after the due date listed, and we will endeavour to have registrations complete to allow entry to CCQT and PIT before the closing dates. A revised final date for applications will be put in place and you will be notified of this date once it is confirmed. Further details will be made available soon.</w:t>
      </w:r>
    </w:p>
    <w:p w:rsidR="00E976C8" w:rsidRDefault="00E976C8" w:rsidP="00E976C8">
      <w:pPr>
        <w:rPr>
          <w:b/>
          <w:bCs/>
          <w:color w:val="1F497D"/>
          <w:u w:val="single"/>
          <w:lang w:val="en-GB"/>
        </w:rPr>
      </w:pPr>
    </w:p>
    <w:p w:rsidR="00E976C8" w:rsidRDefault="00E976C8" w:rsidP="00E976C8">
      <w:pPr>
        <w:rPr>
          <w:b/>
          <w:bCs/>
          <w:color w:val="FF0000"/>
          <w:lang w:val="en-GB"/>
        </w:rPr>
      </w:pPr>
      <w:r>
        <w:rPr>
          <w:b/>
          <w:bCs/>
          <w:lang w:val="en-GB"/>
        </w:rPr>
        <w:t>Please Note:</w:t>
      </w:r>
      <w:r>
        <w:rPr>
          <w:b/>
          <w:bCs/>
          <w:u w:val="single"/>
          <w:lang w:val="en-GB"/>
        </w:rPr>
        <w:t xml:space="preserve"> </w:t>
      </w:r>
      <w:r>
        <w:rPr>
          <w:b/>
          <w:bCs/>
          <w:color w:val="FF0000"/>
          <w:u w:val="single"/>
          <w:lang w:val="en-GB"/>
        </w:rPr>
        <w:t>This extension does not include qualification for the T-1 2018 / 2019 Capacity Market.</w:t>
      </w:r>
      <w:r>
        <w:rPr>
          <w:b/>
          <w:bCs/>
          <w:color w:val="FF0000"/>
          <w:lang w:val="en-GB"/>
        </w:rPr>
        <w:t xml:space="preserve"> </w:t>
      </w:r>
    </w:p>
    <w:p w:rsidR="00E976C8" w:rsidRDefault="00E976C8" w:rsidP="00E976C8">
      <w:pPr>
        <w:rPr>
          <w:color w:val="1F497D"/>
          <w:lang w:val="en-GB"/>
        </w:rPr>
      </w:pPr>
    </w:p>
    <w:p w:rsidR="00E976C8" w:rsidRDefault="00E976C8" w:rsidP="00E976C8">
      <w:pPr>
        <w:rPr>
          <w:b/>
          <w:bCs/>
          <w:u w:val="single"/>
          <w:lang w:val="en-GB"/>
        </w:rPr>
      </w:pPr>
      <w:proofErr w:type="spellStart"/>
      <w:r>
        <w:rPr>
          <w:b/>
          <w:bCs/>
          <w:highlight w:val="yellow"/>
          <w:u w:val="single"/>
          <w:lang w:val="en-GB"/>
        </w:rPr>
        <w:t>SEMOpx</w:t>
      </w:r>
      <w:proofErr w:type="spellEnd"/>
      <w:r>
        <w:rPr>
          <w:b/>
          <w:bCs/>
          <w:highlight w:val="yellow"/>
          <w:u w:val="single"/>
          <w:lang w:val="en-GB"/>
        </w:rPr>
        <w:t xml:space="preserve"> Framework Agreements:</w:t>
      </w:r>
    </w:p>
    <w:p w:rsidR="00E976C8" w:rsidRDefault="00E976C8" w:rsidP="00E976C8">
      <w:pPr>
        <w:rPr>
          <w:lang w:val="en-GB"/>
        </w:rPr>
      </w:pPr>
      <w:r>
        <w:rPr>
          <w:lang w:val="en-GB"/>
        </w:rPr>
        <w:t xml:space="preserve">A draft version of the </w:t>
      </w:r>
      <w:proofErr w:type="spellStart"/>
      <w:r>
        <w:rPr>
          <w:lang w:val="en-GB"/>
        </w:rPr>
        <w:t>SEMOpx</w:t>
      </w:r>
      <w:proofErr w:type="spellEnd"/>
      <w:r>
        <w:rPr>
          <w:lang w:val="en-GB"/>
        </w:rPr>
        <w:t xml:space="preserve"> Framework Agreement will be published for review in the coming days. Participants can submit comments on the content of the agreements until the end of August. The final versions of the Framework Agreements will be published mid-September, and these should be signed and submitted to SEMO by the end of October. Key dates will be outlines once the draft agreements are published for review. </w:t>
      </w:r>
    </w:p>
    <w:p w:rsidR="00E976C8" w:rsidRDefault="00E976C8" w:rsidP="00E976C8">
      <w:pPr>
        <w:rPr>
          <w:lang w:val="en-GB"/>
        </w:rPr>
      </w:pPr>
    </w:p>
    <w:p w:rsidR="00E976C8" w:rsidRDefault="00E976C8" w:rsidP="00E976C8">
      <w:pPr>
        <w:rPr>
          <w:b/>
          <w:bCs/>
          <w:u w:val="single"/>
          <w:lang w:val="en-GB"/>
        </w:rPr>
      </w:pPr>
      <w:r>
        <w:rPr>
          <w:b/>
          <w:bCs/>
          <w:highlight w:val="yellow"/>
          <w:u w:val="single"/>
          <w:lang w:val="en-GB"/>
        </w:rPr>
        <w:t>Balancing Market:</w:t>
      </w:r>
    </w:p>
    <w:p w:rsidR="00E976C8" w:rsidRDefault="00E976C8" w:rsidP="00E976C8">
      <w:pPr>
        <w:rPr>
          <w:color w:val="1F497D"/>
          <w:lang w:val="en-GB"/>
        </w:rPr>
      </w:pPr>
      <w:r>
        <w:rPr>
          <w:lang w:val="en-GB"/>
        </w:rPr>
        <w:lastRenderedPageBreak/>
        <w:t xml:space="preserve">The closing date for Balancing Market was on </w:t>
      </w:r>
      <w:r>
        <w:rPr>
          <w:b/>
          <w:bCs/>
          <w:lang w:val="en-GB"/>
        </w:rPr>
        <w:t>16</w:t>
      </w:r>
      <w:r>
        <w:rPr>
          <w:b/>
          <w:bCs/>
          <w:vertAlign w:val="superscript"/>
          <w:lang w:val="en-GB"/>
        </w:rPr>
        <w:t>th</w:t>
      </w:r>
      <w:r>
        <w:rPr>
          <w:b/>
          <w:bCs/>
          <w:lang w:val="en-GB"/>
        </w:rPr>
        <w:t xml:space="preserve"> of June 2017</w:t>
      </w:r>
      <w:r>
        <w:rPr>
          <w:lang w:val="en-GB"/>
        </w:rPr>
        <w:t xml:space="preserve">. Please forward any outstanding forms without delay. Forms should be sent to </w:t>
      </w:r>
      <w:hyperlink r:id="rId9" w:history="1">
        <w:r>
          <w:rPr>
            <w:rStyle w:val="Hyperlink"/>
            <w:lang w:val="en-GB"/>
          </w:rPr>
          <w:t>i-semregistration@sem-o.com</w:t>
        </w:r>
      </w:hyperlink>
    </w:p>
    <w:p w:rsidR="00E976C8" w:rsidRDefault="00E976C8" w:rsidP="00E976C8">
      <w:pPr>
        <w:rPr>
          <w:lang w:val="en-GB"/>
        </w:rPr>
      </w:pPr>
      <w:r>
        <w:rPr>
          <w:lang w:val="en-GB"/>
        </w:rPr>
        <w:t>Late entries will be processed and we will endeavour to complete the registration ahead of CCQT and PIT ahead of Market Trial, however we cannot guarantee entry to the start of the market trial at this point.</w:t>
      </w:r>
    </w:p>
    <w:p w:rsidR="00E976C8" w:rsidRDefault="00E976C8" w:rsidP="00E976C8">
      <w:pPr>
        <w:rPr>
          <w:lang w:val="en-GB"/>
        </w:rPr>
      </w:pPr>
    </w:p>
    <w:p w:rsidR="00E976C8" w:rsidRDefault="00E976C8" w:rsidP="00E976C8">
      <w:pPr>
        <w:rPr>
          <w:lang w:val="en-GB"/>
        </w:rPr>
      </w:pPr>
      <w:r>
        <w:rPr>
          <w:lang w:val="en-GB"/>
        </w:rPr>
        <w:t>The full list of Balancing Market Forms is as follow:</w:t>
      </w:r>
    </w:p>
    <w:p w:rsidR="00E976C8" w:rsidRDefault="00E976C8" w:rsidP="00E976C8">
      <w:pPr>
        <w:rPr>
          <w:color w:val="1F497D"/>
          <w:lang w:val="en-GB"/>
        </w:rPr>
      </w:pPr>
    </w:p>
    <w:p w:rsidR="00E976C8" w:rsidRDefault="00E976C8" w:rsidP="00E976C8">
      <w:pPr>
        <w:numPr>
          <w:ilvl w:val="0"/>
          <w:numId w:val="2"/>
        </w:numPr>
        <w:rPr>
          <w:rFonts w:eastAsia="Times New Roman"/>
          <w:lang w:val="en-GB"/>
        </w:rPr>
      </w:pPr>
      <w:r>
        <w:rPr>
          <w:rFonts w:eastAsia="Times New Roman"/>
          <w:lang w:val="en-GB"/>
        </w:rPr>
        <w:t>B91 Balancing market – Data Confirmation</w:t>
      </w:r>
    </w:p>
    <w:p w:rsidR="00E976C8" w:rsidRDefault="00E976C8" w:rsidP="00E976C8">
      <w:pPr>
        <w:numPr>
          <w:ilvl w:val="0"/>
          <w:numId w:val="2"/>
        </w:numPr>
        <w:rPr>
          <w:rFonts w:eastAsia="Times New Roman"/>
          <w:lang w:val="en-GB"/>
        </w:rPr>
      </w:pPr>
      <w:r>
        <w:rPr>
          <w:rFonts w:eastAsia="Times New Roman"/>
          <w:lang w:val="en-GB"/>
        </w:rPr>
        <w:t>B93 Unit Data Form</w:t>
      </w:r>
    </w:p>
    <w:p w:rsidR="00E976C8" w:rsidRDefault="00E976C8" w:rsidP="00E976C8">
      <w:pPr>
        <w:numPr>
          <w:ilvl w:val="0"/>
          <w:numId w:val="2"/>
        </w:numPr>
        <w:rPr>
          <w:rFonts w:eastAsia="Times New Roman"/>
          <w:lang w:val="en-GB"/>
        </w:rPr>
      </w:pPr>
      <w:r>
        <w:rPr>
          <w:rFonts w:eastAsia="Times New Roman"/>
          <w:lang w:val="en-GB"/>
        </w:rPr>
        <w:t>B15 Forecast Volumes</w:t>
      </w:r>
    </w:p>
    <w:p w:rsidR="00E976C8" w:rsidRDefault="00E976C8" w:rsidP="00E976C8">
      <w:pPr>
        <w:numPr>
          <w:ilvl w:val="0"/>
          <w:numId w:val="2"/>
        </w:numPr>
        <w:rPr>
          <w:rFonts w:eastAsia="Times New Roman"/>
          <w:lang w:val="en-GB"/>
        </w:rPr>
      </w:pPr>
      <w:r>
        <w:rPr>
          <w:rFonts w:eastAsia="Times New Roman"/>
          <w:lang w:val="en-GB"/>
        </w:rPr>
        <w:t>B14 Form of Authority</w:t>
      </w:r>
      <w:r>
        <w:rPr>
          <w:rFonts w:eastAsia="Times New Roman"/>
          <w:color w:val="1F497D"/>
          <w:lang w:val="en-GB"/>
        </w:rPr>
        <w:t xml:space="preserve"> </w:t>
      </w:r>
      <w:r>
        <w:rPr>
          <w:rFonts w:eastAsia="Times New Roman"/>
          <w:b/>
          <w:bCs/>
          <w:color w:val="FF0000"/>
          <w:lang w:val="en-GB"/>
        </w:rPr>
        <w:t>(due 3</w:t>
      </w:r>
      <w:r>
        <w:rPr>
          <w:rFonts w:eastAsia="Times New Roman"/>
          <w:b/>
          <w:bCs/>
          <w:color w:val="FF0000"/>
          <w:vertAlign w:val="superscript"/>
          <w:lang w:val="en-GB"/>
        </w:rPr>
        <w:t>rd</w:t>
      </w:r>
      <w:r>
        <w:rPr>
          <w:rFonts w:eastAsia="Times New Roman"/>
          <w:b/>
          <w:bCs/>
          <w:color w:val="FF0000"/>
          <w:lang w:val="en-GB"/>
        </w:rPr>
        <w:t xml:space="preserve"> August)</w:t>
      </w:r>
    </w:p>
    <w:p w:rsidR="00E976C8" w:rsidRDefault="00E976C8" w:rsidP="00E976C8">
      <w:pPr>
        <w:numPr>
          <w:ilvl w:val="0"/>
          <w:numId w:val="2"/>
        </w:numPr>
        <w:rPr>
          <w:rFonts w:eastAsia="Times New Roman"/>
          <w:lang w:val="en-GB"/>
        </w:rPr>
      </w:pPr>
      <w:r>
        <w:rPr>
          <w:rFonts w:eastAsia="Times New Roman"/>
          <w:lang w:val="en-GB"/>
        </w:rPr>
        <w:t>B02 PAU Authorisation</w:t>
      </w:r>
    </w:p>
    <w:p w:rsidR="00E976C8" w:rsidRDefault="00E976C8" w:rsidP="00E976C8">
      <w:pPr>
        <w:numPr>
          <w:ilvl w:val="0"/>
          <w:numId w:val="2"/>
        </w:numPr>
        <w:rPr>
          <w:rFonts w:eastAsia="Times New Roman"/>
          <w:lang w:val="en-GB"/>
        </w:rPr>
      </w:pPr>
      <w:r>
        <w:rPr>
          <w:rFonts w:eastAsia="Times New Roman"/>
          <w:lang w:val="en-GB"/>
        </w:rPr>
        <w:t>B92 User Access</w:t>
      </w:r>
    </w:p>
    <w:p w:rsidR="00E976C8" w:rsidRDefault="00E976C8" w:rsidP="00E976C8">
      <w:pPr>
        <w:numPr>
          <w:ilvl w:val="0"/>
          <w:numId w:val="2"/>
        </w:numPr>
        <w:rPr>
          <w:rFonts w:eastAsia="Times New Roman"/>
          <w:lang w:val="en-GB"/>
        </w:rPr>
      </w:pPr>
      <w:r>
        <w:rPr>
          <w:rFonts w:eastAsia="Times New Roman"/>
          <w:lang w:val="en-GB"/>
        </w:rPr>
        <w:t>B95 TSC Framework Agreement (closing date 28</w:t>
      </w:r>
      <w:r>
        <w:rPr>
          <w:rFonts w:eastAsia="Times New Roman"/>
          <w:vertAlign w:val="superscript"/>
          <w:lang w:val="en-GB"/>
        </w:rPr>
        <w:t>th</w:t>
      </w:r>
      <w:r>
        <w:rPr>
          <w:rFonts w:eastAsia="Times New Roman"/>
          <w:lang w:val="en-GB"/>
        </w:rPr>
        <w:t xml:space="preserve"> of July 17.</w:t>
      </w:r>
    </w:p>
    <w:p w:rsidR="00E976C8" w:rsidRDefault="00E976C8" w:rsidP="00E976C8">
      <w:pPr>
        <w:numPr>
          <w:ilvl w:val="0"/>
          <w:numId w:val="2"/>
        </w:numPr>
        <w:rPr>
          <w:rFonts w:eastAsia="Times New Roman"/>
          <w:color w:val="1F497D"/>
          <w:lang w:val="en-GB"/>
        </w:rPr>
      </w:pPr>
      <w:r>
        <w:rPr>
          <w:rFonts w:eastAsia="Times New Roman"/>
          <w:lang w:val="en-GB"/>
        </w:rPr>
        <w:t>Users should read the</w:t>
      </w:r>
      <w:r>
        <w:rPr>
          <w:rFonts w:eastAsia="Times New Roman"/>
          <w:color w:val="1F497D"/>
          <w:lang w:val="en-GB"/>
        </w:rPr>
        <w:t xml:space="preserve"> </w:t>
      </w:r>
      <w:hyperlink r:id="rId10" w:history="1">
        <w:r>
          <w:rPr>
            <w:rStyle w:val="Hyperlink"/>
            <w:rFonts w:eastAsia="Times New Roman"/>
            <w:lang w:val="en-GB"/>
          </w:rPr>
          <w:t>B90 Transitional Registration Guide</w:t>
        </w:r>
      </w:hyperlink>
      <w:r>
        <w:rPr>
          <w:rFonts w:eastAsia="Times New Roman"/>
          <w:color w:val="1F497D"/>
          <w:lang w:val="en-GB"/>
        </w:rPr>
        <w:t xml:space="preserve"> </w:t>
      </w:r>
      <w:r>
        <w:rPr>
          <w:rFonts w:eastAsia="Times New Roman"/>
          <w:lang w:val="en-GB"/>
        </w:rPr>
        <w:t>to assist with any queries.</w:t>
      </w:r>
    </w:p>
    <w:p w:rsidR="00E976C8" w:rsidRDefault="00E976C8" w:rsidP="00E976C8">
      <w:pPr>
        <w:rPr>
          <w:color w:val="1F497D"/>
          <w:lang w:val="en-GB"/>
        </w:rPr>
      </w:pPr>
      <w:r>
        <w:rPr>
          <w:color w:val="1F497D"/>
          <w:lang w:val="en-GB"/>
        </w:rPr>
        <w:t>.</w:t>
      </w:r>
    </w:p>
    <w:p w:rsidR="00E976C8" w:rsidRDefault="00E976C8" w:rsidP="00E976C8">
      <w:pPr>
        <w:rPr>
          <w:color w:val="1F497D"/>
          <w:lang w:val="en-GB"/>
        </w:rPr>
      </w:pPr>
    </w:p>
    <w:p w:rsidR="00E976C8" w:rsidRDefault="00E976C8" w:rsidP="00E976C8">
      <w:pPr>
        <w:rPr>
          <w:b/>
          <w:bCs/>
          <w:u w:val="single"/>
          <w:lang w:val="en-GB"/>
        </w:rPr>
      </w:pPr>
      <w:r>
        <w:rPr>
          <w:b/>
          <w:bCs/>
          <w:highlight w:val="yellow"/>
          <w:u w:val="single"/>
          <w:lang w:val="en-GB"/>
        </w:rPr>
        <w:t>The process for entry to I-SEM for each market is as follows:</w:t>
      </w:r>
    </w:p>
    <w:p w:rsidR="00E976C8" w:rsidRDefault="00E976C8" w:rsidP="00E976C8">
      <w:pPr>
        <w:rPr>
          <w:lang w:val="en-GB"/>
        </w:rPr>
      </w:pPr>
    </w:p>
    <w:p w:rsidR="00E976C8" w:rsidRDefault="00E976C8" w:rsidP="00E976C8">
      <w:pPr>
        <w:numPr>
          <w:ilvl w:val="0"/>
          <w:numId w:val="3"/>
        </w:numPr>
        <w:rPr>
          <w:rFonts w:eastAsia="Times New Roman"/>
          <w:b/>
          <w:bCs/>
          <w:lang w:val="en-GB"/>
        </w:rPr>
      </w:pPr>
      <w:r>
        <w:rPr>
          <w:rFonts w:eastAsia="Times New Roman"/>
          <w:b/>
          <w:bCs/>
          <w:lang w:val="en-GB"/>
        </w:rPr>
        <w:t xml:space="preserve">Submission of Registration Application Forms </w:t>
      </w:r>
    </w:p>
    <w:p w:rsidR="00E976C8" w:rsidRDefault="00E976C8" w:rsidP="00E976C8">
      <w:pPr>
        <w:numPr>
          <w:ilvl w:val="1"/>
          <w:numId w:val="3"/>
        </w:numPr>
        <w:rPr>
          <w:rFonts w:eastAsia="Times New Roman"/>
          <w:lang w:val="en-GB"/>
        </w:rPr>
      </w:pPr>
      <w:hyperlink r:id="rId11" w:history="1">
        <w:r>
          <w:rPr>
            <w:rStyle w:val="Hyperlink"/>
            <w:rFonts w:eastAsia="Times New Roman"/>
            <w:lang w:val="en-GB"/>
          </w:rPr>
          <w:t>Balancing Market</w:t>
        </w:r>
      </w:hyperlink>
      <w:r>
        <w:rPr>
          <w:rFonts w:eastAsia="Times New Roman"/>
          <w:lang w:val="en-GB"/>
        </w:rPr>
        <w:t>: Due 16</w:t>
      </w:r>
      <w:r>
        <w:rPr>
          <w:rFonts w:eastAsia="Times New Roman"/>
          <w:vertAlign w:val="superscript"/>
          <w:lang w:val="en-GB"/>
        </w:rPr>
        <w:t>th</w:t>
      </w:r>
      <w:r>
        <w:rPr>
          <w:rFonts w:eastAsia="Times New Roman"/>
          <w:lang w:val="en-GB"/>
        </w:rPr>
        <w:t xml:space="preserve"> June </w:t>
      </w:r>
      <w:r>
        <w:rPr>
          <w:rFonts w:eastAsia="Times New Roman"/>
          <w:color w:val="0070C0"/>
          <w:lang w:val="en-GB"/>
        </w:rPr>
        <w:t>(If you have not submitted forms to date, please send these in without delay).</w:t>
      </w:r>
    </w:p>
    <w:p w:rsidR="00E976C8" w:rsidRDefault="00E976C8" w:rsidP="00E976C8">
      <w:pPr>
        <w:numPr>
          <w:ilvl w:val="1"/>
          <w:numId w:val="3"/>
        </w:numPr>
        <w:rPr>
          <w:rFonts w:eastAsia="Times New Roman"/>
          <w:lang w:val="en-GB"/>
        </w:rPr>
      </w:pPr>
      <w:hyperlink r:id="rId12" w:history="1">
        <w:r>
          <w:rPr>
            <w:rStyle w:val="Hyperlink"/>
            <w:rFonts w:eastAsia="Times New Roman"/>
            <w:lang w:val="en-GB"/>
          </w:rPr>
          <w:t>Capacity Market</w:t>
        </w:r>
      </w:hyperlink>
      <w:r>
        <w:rPr>
          <w:rFonts w:eastAsia="Times New Roman"/>
          <w:lang w:val="en-GB"/>
        </w:rPr>
        <w:t>: Due 3</w:t>
      </w:r>
      <w:r>
        <w:rPr>
          <w:rFonts w:eastAsia="Times New Roman"/>
          <w:vertAlign w:val="superscript"/>
          <w:lang w:val="en-GB"/>
        </w:rPr>
        <w:t>rd</w:t>
      </w:r>
      <w:r>
        <w:rPr>
          <w:rFonts w:eastAsia="Times New Roman"/>
          <w:lang w:val="en-GB"/>
        </w:rPr>
        <w:t xml:space="preserve"> August</w:t>
      </w:r>
    </w:p>
    <w:p w:rsidR="00E976C8" w:rsidRDefault="00E976C8" w:rsidP="00E976C8">
      <w:pPr>
        <w:numPr>
          <w:ilvl w:val="1"/>
          <w:numId w:val="3"/>
        </w:numPr>
        <w:rPr>
          <w:rFonts w:eastAsia="Times New Roman"/>
          <w:lang w:val="en-GB"/>
        </w:rPr>
      </w:pPr>
      <w:hyperlink r:id="rId13" w:history="1">
        <w:proofErr w:type="spellStart"/>
        <w:r>
          <w:rPr>
            <w:rStyle w:val="Hyperlink"/>
            <w:rFonts w:eastAsia="Times New Roman"/>
            <w:lang w:val="en-GB"/>
          </w:rPr>
          <w:t>SEMOpx</w:t>
        </w:r>
        <w:proofErr w:type="spellEnd"/>
      </w:hyperlink>
      <w:r>
        <w:rPr>
          <w:rFonts w:eastAsia="Times New Roman"/>
          <w:lang w:val="en-GB"/>
        </w:rPr>
        <w:t>: Due 7</w:t>
      </w:r>
      <w:r>
        <w:rPr>
          <w:rFonts w:eastAsia="Times New Roman"/>
          <w:vertAlign w:val="superscript"/>
          <w:lang w:val="en-GB"/>
        </w:rPr>
        <w:t>th</w:t>
      </w:r>
      <w:r>
        <w:rPr>
          <w:rFonts w:eastAsia="Times New Roman"/>
          <w:lang w:val="en-GB"/>
        </w:rPr>
        <w:t xml:space="preserve"> August</w:t>
      </w:r>
    </w:p>
    <w:p w:rsidR="00E976C8" w:rsidRDefault="00E976C8" w:rsidP="00E976C8">
      <w:pPr>
        <w:pStyle w:val="ListParagraph"/>
        <w:ind w:left="1440"/>
        <w:rPr>
          <w:lang w:val="en-GB"/>
        </w:rPr>
      </w:pPr>
      <w:r>
        <w:rPr>
          <w:lang w:val="en-GB"/>
        </w:rPr>
        <w:t>(Relevant forms located in links above).</w:t>
      </w:r>
    </w:p>
    <w:p w:rsidR="00E976C8" w:rsidRDefault="00E976C8" w:rsidP="00E976C8">
      <w:pPr>
        <w:rPr>
          <w:color w:val="1F497D"/>
          <w:lang w:val="en-GB"/>
        </w:rPr>
      </w:pPr>
    </w:p>
    <w:p w:rsidR="00E976C8" w:rsidRDefault="00E976C8" w:rsidP="00E976C8">
      <w:pPr>
        <w:numPr>
          <w:ilvl w:val="0"/>
          <w:numId w:val="3"/>
        </w:numPr>
        <w:rPr>
          <w:rFonts w:eastAsia="Times New Roman"/>
          <w:b/>
          <w:bCs/>
          <w:lang w:val="en-GB"/>
        </w:rPr>
      </w:pPr>
      <w:r>
        <w:rPr>
          <w:rFonts w:eastAsia="Times New Roman"/>
          <w:b/>
          <w:bCs/>
          <w:lang w:val="en-GB"/>
        </w:rPr>
        <w:t>Communications Channel Qualification Testing (CCQT)</w:t>
      </w:r>
      <w:r>
        <w:rPr>
          <w:rFonts w:eastAsia="Times New Roman"/>
          <w:b/>
          <w:bCs/>
          <w:color w:val="1F497D"/>
          <w:lang w:val="en-GB"/>
        </w:rPr>
        <w:t xml:space="preserve"> &amp; </w:t>
      </w:r>
      <w:r>
        <w:rPr>
          <w:rFonts w:eastAsia="Times New Roman"/>
          <w:b/>
          <w:bCs/>
          <w:lang w:val="en-GB"/>
        </w:rPr>
        <w:t>Participant Interface Testing (PIT)</w:t>
      </w:r>
    </w:p>
    <w:p w:rsidR="00E976C8" w:rsidRDefault="00E976C8" w:rsidP="00E976C8">
      <w:pPr>
        <w:numPr>
          <w:ilvl w:val="1"/>
          <w:numId w:val="3"/>
        </w:numPr>
        <w:rPr>
          <w:rFonts w:eastAsia="Times New Roman"/>
          <w:lang w:val="en-GB"/>
        </w:rPr>
      </w:pPr>
      <w:r>
        <w:rPr>
          <w:rFonts w:eastAsia="Times New Roman"/>
          <w:lang w:val="en-GB"/>
        </w:rPr>
        <w:t>Balancing Market: Commences 7</w:t>
      </w:r>
      <w:r>
        <w:rPr>
          <w:rFonts w:eastAsia="Times New Roman"/>
          <w:vertAlign w:val="superscript"/>
          <w:lang w:val="en-GB"/>
        </w:rPr>
        <w:t>th</w:t>
      </w:r>
      <w:r>
        <w:rPr>
          <w:rFonts w:eastAsia="Times New Roman"/>
          <w:lang w:val="en-GB"/>
        </w:rPr>
        <w:t xml:space="preserve"> Sept. Closes 30</w:t>
      </w:r>
      <w:r>
        <w:rPr>
          <w:rFonts w:eastAsia="Times New Roman"/>
          <w:vertAlign w:val="superscript"/>
          <w:lang w:val="en-GB"/>
        </w:rPr>
        <w:t>th</w:t>
      </w:r>
      <w:r>
        <w:rPr>
          <w:rFonts w:eastAsia="Times New Roman"/>
          <w:lang w:val="en-GB"/>
        </w:rPr>
        <w:t xml:space="preserve"> Nov.</w:t>
      </w:r>
    </w:p>
    <w:p w:rsidR="00E976C8" w:rsidRDefault="00E976C8" w:rsidP="00E976C8">
      <w:pPr>
        <w:numPr>
          <w:ilvl w:val="1"/>
          <w:numId w:val="3"/>
        </w:numPr>
        <w:rPr>
          <w:rFonts w:eastAsia="Times New Roman"/>
          <w:lang w:val="en-GB"/>
        </w:rPr>
      </w:pPr>
      <w:proofErr w:type="spellStart"/>
      <w:r>
        <w:rPr>
          <w:rFonts w:eastAsia="Times New Roman"/>
          <w:lang w:val="en-GB"/>
        </w:rPr>
        <w:t>SEMOpx</w:t>
      </w:r>
      <w:proofErr w:type="spellEnd"/>
      <w:r>
        <w:rPr>
          <w:rFonts w:eastAsia="Times New Roman"/>
          <w:lang w:val="en-GB"/>
        </w:rPr>
        <w:t>: Commences 7</w:t>
      </w:r>
      <w:r>
        <w:rPr>
          <w:rFonts w:eastAsia="Times New Roman"/>
          <w:vertAlign w:val="superscript"/>
          <w:lang w:val="en-GB"/>
        </w:rPr>
        <w:t>th</w:t>
      </w:r>
      <w:r>
        <w:rPr>
          <w:rFonts w:eastAsia="Times New Roman"/>
          <w:lang w:val="en-GB"/>
        </w:rPr>
        <w:t xml:space="preserve"> Sept. Closes 30</w:t>
      </w:r>
      <w:r>
        <w:rPr>
          <w:rFonts w:eastAsia="Times New Roman"/>
          <w:vertAlign w:val="superscript"/>
          <w:lang w:val="en-GB"/>
        </w:rPr>
        <w:t>th</w:t>
      </w:r>
      <w:r>
        <w:rPr>
          <w:rFonts w:eastAsia="Times New Roman"/>
          <w:lang w:val="en-GB"/>
        </w:rPr>
        <w:t xml:space="preserve"> Nov.</w:t>
      </w:r>
    </w:p>
    <w:p w:rsidR="00E976C8" w:rsidRDefault="00E976C8" w:rsidP="00E976C8">
      <w:pPr>
        <w:numPr>
          <w:ilvl w:val="1"/>
          <w:numId w:val="3"/>
        </w:numPr>
        <w:rPr>
          <w:rFonts w:eastAsia="Times New Roman"/>
          <w:lang w:val="en-GB"/>
        </w:rPr>
      </w:pPr>
      <w:r>
        <w:rPr>
          <w:rFonts w:eastAsia="Times New Roman"/>
          <w:lang w:val="en-GB"/>
        </w:rPr>
        <w:t>Capacity Market: Commences 2</w:t>
      </w:r>
      <w:r>
        <w:rPr>
          <w:rFonts w:eastAsia="Times New Roman"/>
          <w:vertAlign w:val="superscript"/>
          <w:lang w:val="en-GB"/>
        </w:rPr>
        <w:t>nd</w:t>
      </w:r>
      <w:r>
        <w:rPr>
          <w:rFonts w:eastAsia="Times New Roman"/>
          <w:lang w:val="en-GB"/>
        </w:rPr>
        <w:t xml:space="preserve"> Oct. Closes 30</w:t>
      </w:r>
      <w:r>
        <w:rPr>
          <w:rFonts w:eastAsia="Times New Roman"/>
          <w:vertAlign w:val="superscript"/>
          <w:lang w:val="en-GB"/>
        </w:rPr>
        <w:t>th</w:t>
      </w:r>
      <w:r>
        <w:rPr>
          <w:rFonts w:eastAsia="Times New Roman"/>
          <w:lang w:val="en-GB"/>
        </w:rPr>
        <w:t xml:space="preserve"> Nov.</w:t>
      </w:r>
    </w:p>
    <w:p w:rsidR="00E976C8" w:rsidRDefault="00E976C8" w:rsidP="00E976C8">
      <w:pPr>
        <w:pStyle w:val="ListParagraph"/>
        <w:ind w:left="1440"/>
        <w:rPr>
          <w:lang w:val="en-GB"/>
        </w:rPr>
      </w:pPr>
    </w:p>
    <w:p w:rsidR="00E976C8" w:rsidRDefault="00E976C8" w:rsidP="00E976C8">
      <w:pPr>
        <w:numPr>
          <w:ilvl w:val="0"/>
          <w:numId w:val="3"/>
        </w:numPr>
        <w:rPr>
          <w:rFonts w:eastAsia="Times New Roman"/>
          <w:b/>
          <w:bCs/>
          <w:lang w:val="en-GB"/>
        </w:rPr>
      </w:pPr>
      <w:r>
        <w:rPr>
          <w:rFonts w:eastAsia="Times New Roman"/>
          <w:b/>
          <w:bCs/>
          <w:lang w:val="en-GB"/>
        </w:rPr>
        <w:t>Market Trial</w:t>
      </w:r>
    </w:p>
    <w:p w:rsidR="00E976C8" w:rsidRDefault="00E976C8" w:rsidP="00E976C8">
      <w:pPr>
        <w:numPr>
          <w:ilvl w:val="1"/>
          <w:numId w:val="3"/>
        </w:numPr>
        <w:rPr>
          <w:rFonts w:eastAsia="Times New Roman"/>
          <w:lang w:val="en-GB"/>
        </w:rPr>
      </w:pPr>
      <w:r>
        <w:rPr>
          <w:rFonts w:eastAsia="Times New Roman"/>
          <w:lang w:val="en-GB"/>
        </w:rPr>
        <w:t xml:space="preserve">All </w:t>
      </w:r>
      <w:proofErr w:type="gramStart"/>
      <w:r>
        <w:rPr>
          <w:rFonts w:eastAsia="Times New Roman"/>
          <w:lang w:val="en-GB"/>
        </w:rPr>
        <w:t>Markets :</w:t>
      </w:r>
      <w:proofErr w:type="gramEnd"/>
      <w:r>
        <w:rPr>
          <w:rFonts w:eastAsia="Times New Roman"/>
          <w:lang w:val="en-GB"/>
        </w:rPr>
        <w:t xml:space="preserve"> Commences 4</w:t>
      </w:r>
      <w:r>
        <w:rPr>
          <w:rFonts w:eastAsia="Times New Roman"/>
          <w:vertAlign w:val="superscript"/>
          <w:lang w:val="en-GB"/>
        </w:rPr>
        <w:t>th</w:t>
      </w:r>
      <w:r>
        <w:rPr>
          <w:rFonts w:eastAsia="Times New Roman"/>
          <w:lang w:val="en-GB"/>
        </w:rPr>
        <w:t xml:space="preserve"> December 2017. </w:t>
      </w:r>
    </w:p>
    <w:p w:rsidR="00E976C8" w:rsidRDefault="00E976C8" w:rsidP="00E976C8">
      <w:pPr>
        <w:rPr>
          <w:lang w:val="en-GB"/>
        </w:rPr>
      </w:pPr>
    </w:p>
    <w:p w:rsidR="00E976C8" w:rsidRDefault="00E976C8" w:rsidP="00E976C8">
      <w:pPr>
        <w:rPr>
          <w:lang w:val="en-GB"/>
        </w:rPr>
      </w:pPr>
      <w:r>
        <w:rPr>
          <w:lang w:val="en-GB"/>
        </w:rPr>
        <w:t>Please note: If you have missed the dates for signing the TSC and CMC Framework Agreements you can follow the Accession Process. Accession Deeds will be published on the SEMO website within the coming days.</w:t>
      </w:r>
    </w:p>
    <w:p w:rsidR="00E976C8" w:rsidRDefault="00E976C8" w:rsidP="00E976C8">
      <w:pPr>
        <w:rPr>
          <w:color w:val="1F497D"/>
          <w:lang w:val="en-GB"/>
        </w:rPr>
      </w:pPr>
    </w:p>
    <w:p w:rsidR="00E976C8" w:rsidRDefault="00E976C8" w:rsidP="00E976C8">
      <w:pPr>
        <w:rPr>
          <w:lang w:val="en-GB"/>
        </w:rPr>
      </w:pPr>
      <w:r>
        <w:rPr>
          <w:lang w:val="en-GB"/>
        </w:rPr>
        <w:t>If you have any further queries please get in contact via the details below.</w:t>
      </w:r>
    </w:p>
    <w:p w:rsidR="00E976C8" w:rsidRDefault="00E976C8" w:rsidP="00E976C8">
      <w:pPr>
        <w:rPr>
          <w:lang w:val="en-GB"/>
        </w:rPr>
      </w:pPr>
    </w:p>
    <w:p w:rsidR="00E976C8" w:rsidRDefault="00E976C8" w:rsidP="00E976C8">
      <w:r>
        <w:rPr>
          <w:lang w:val="en-GB"/>
        </w:rPr>
        <w:t>Kind regards,</w:t>
      </w:r>
    </w:p>
    <w:p w:rsidR="00E976C8" w:rsidRDefault="00E976C8" w:rsidP="00E976C8">
      <w:pPr>
        <w:rPr>
          <w:b/>
          <w:bCs/>
          <w:lang w:val="en-US"/>
        </w:rPr>
      </w:pPr>
      <w:r>
        <w:rPr>
          <w:b/>
          <w:bCs/>
          <w:lang w:val="en-US"/>
        </w:rPr>
        <w:t>Julie McGee</w:t>
      </w:r>
    </w:p>
    <w:p w:rsidR="00E976C8" w:rsidRDefault="00E976C8" w:rsidP="00E976C8">
      <w:pPr>
        <w:rPr>
          <w:lang w:val="en-US"/>
        </w:rPr>
      </w:pPr>
      <w:r>
        <w:rPr>
          <w:lang w:val="en-US"/>
        </w:rPr>
        <w:t xml:space="preserve">I-SEM Project, </w:t>
      </w:r>
      <w:proofErr w:type="gramStart"/>
      <w:r>
        <w:rPr>
          <w:lang w:val="en-US"/>
        </w:rPr>
        <w:t>Pre Go</w:t>
      </w:r>
      <w:proofErr w:type="gramEnd"/>
      <w:r>
        <w:rPr>
          <w:lang w:val="en-US"/>
        </w:rPr>
        <w:t xml:space="preserve"> Live Operations</w:t>
      </w:r>
    </w:p>
    <w:p w:rsidR="00E976C8" w:rsidRDefault="00E976C8" w:rsidP="00E976C8">
      <w:pPr>
        <w:rPr>
          <w:b/>
          <w:bCs/>
          <w:lang w:val="en-US"/>
        </w:rPr>
      </w:pPr>
      <w:r>
        <w:rPr>
          <w:b/>
          <w:bCs/>
          <w:lang w:val="en-US"/>
        </w:rPr>
        <w:t xml:space="preserve">P: </w:t>
      </w:r>
      <w:r>
        <w:t xml:space="preserve">1800 726772 (ROI) or 0800 0726772 (NI) </w:t>
      </w:r>
      <w:r>
        <w:br/>
        <w:t>+353 (1) 2370584 (International)</w:t>
      </w:r>
    </w:p>
    <w:p w:rsidR="00E976C8" w:rsidRDefault="00E976C8" w:rsidP="00E976C8">
      <w:pPr>
        <w:rPr>
          <w:color w:val="1F497D"/>
          <w:lang w:val="en-US"/>
        </w:rPr>
      </w:pPr>
      <w:r>
        <w:rPr>
          <w:b/>
          <w:bCs/>
          <w:lang w:val="en-US"/>
        </w:rPr>
        <w:t>E:</w:t>
      </w:r>
      <w:r>
        <w:rPr>
          <w:color w:val="1F497D"/>
          <w:lang w:val="en-US"/>
        </w:rPr>
        <w:t xml:space="preserve"> </w:t>
      </w:r>
      <w:hyperlink r:id="rId14" w:history="1">
        <w:r>
          <w:rPr>
            <w:rStyle w:val="Hyperlink"/>
            <w:lang w:val="en-US"/>
          </w:rPr>
          <w:t>i-semregistration@sem-o.com</w:t>
        </w:r>
      </w:hyperlink>
    </w:p>
    <w:p w:rsidR="00E976C8" w:rsidRDefault="00E976C8" w:rsidP="00E976C8">
      <w:pPr>
        <w:rPr>
          <w:color w:val="1F497D"/>
          <w:lang w:val="en-US"/>
        </w:rPr>
      </w:pPr>
    </w:p>
    <w:p w:rsidR="00E976C8" w:rsidRDefault="00E976C8" w:rsidP="00E976C8">
      <w:pPr>
        <w:rPr>
          <w:color w:val="1F497D"/>
        </w:rPr>
      </w:pPr>
      <w:r>
        <w:rPr>
          <w:noProof/>
          <w:color w:val="1F497D"/>
        </w:rPr>
        <w:drawing>
          <wp:inline distT="0" distB="0" distL="0" distR="0">
            <wp:extent cx="2717800" cy="514350"/>
            <wp:effectExtent l="0" t="0" r="6350" b="0"/>
            <wp:docPr id="1" name="Picture 1" descr="cid:image002.jpg@01D1DD2D.14F6CB0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2.jpg@01D1DD2D.14F6CB0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717800" cy="514350"/>
                    </a:xfrm>
                    <a:prstGeom prst="rect">
                      <a:avLst/>
                    </a:prstGeom>
                    <a:noFill/>
                    <a:ln>
                      <a:noFill/>
                    </a:ln>
                  </pic:spPr>
                </pic:pic>
              </a:graphicData>
            </a:graphic>
          </wp:inline>
        </w:drawing>
      </w:r>
    </w:p>
    <w:sectPr w:rsidR="00E97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BB0"/>
    <w:multiLevelType w:val="hybridMultilevel"/>
    <w:tmpl w:val="FECEF3B0"/>
    <w:lvl w:ilvl="0" w:tplc="DDC672E4">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3AA0459C"/>
    <w:multiLevelType w:val="hybridMultilevel"/>
    <w:tmpl w:val="63AC22A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E6D1D1C"/>
    <w:multiLevelType w:val="hybridMultilevel"/>
    <w:tmpl w:val="CE9CB1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C8"/>
    <w:rsid w:val="00C014EE"/>
    <w:rsid w:val="00E976C8"/>
    <w:rsid w:val="00F840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522B5-82B3-4888-88EF-22C56A43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6C8"/>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76C8"/>
    <w:rPr>
      <w:color w:val="0000FF"/>
      <w:u w:val="single"/>
    </w:rPr>
  </w:style>
  <w:style w:type="paragraph" w:styleId="ListParagraph">
    <w:name w:val="List Paragraph"/>
    <w:basedOn w:val="Normal"/>
    <w:uiPriority w:val="34"/>
    <w:qFormat/>
    <w:rsid w:val="00E976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44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mcommittee.com/sites/semcommittee.com/files/media-files/SEM-17-053.pdf" TargetMode="External"/><Relationship Id="rId13" Type="http://schemas.openxmlformats.org/officeDocument/2006/relationships/hyperlink" Target="http://www.sem-o.com/ISEM/Pages/SEMOpx.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m-o.com/ISEM/General/Capacity%20Market%20-%20The%20Quick%20Guide%20to%20Understanding%20Qualification.pdf" TargetMode="External"/><Relationship Id="rId12" Type="http://schemas.openxmlformats.org/officeDocument/2006/relationships/hyperlink" Target="http://www.sem-o.com/ISEM/Pages/CapacityMarket.aspx" TargetMode="External"/><Relationship Id="rId17" Type="http://schemas.openxmlformats.org/officeDocument/2006/relationships/image" Target="cid:image001.jpg@01D30A1C.10F99330" TargetMode="Externa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www.sem-o.com/ISEM/General/Capacity%20Market%20-%20A%20Helicopter%20Guide%20to%20Understanding%20the%20Capacity%20Market.pdf" TargetMode="External"/><Relationship Id="rId11" Type="http://schemas.openxmlformats.org/officeDocument/2006/relationships/hyperlink" Target="http://www.sem-o.com/ISEM/Pages/BalancingMarket.aspx" TargetMode="External"/><Relationship Id="rId5" Type="http://schemas.openxmlformats.org/officeDocument/2006/relationships/hyperlink" Target="mailto:I-SEMregistration@sem-o.com" TargetMode="External"/><Relationship Id="rId15" Type="http://schemas.openxmlformats.org/officeDocument/2006/relationships/hyperlink" Target="http://www.sem-o.com/isem/Pages/Home.aspx" TargetMode="External"/><Relationship Id="rId10" Type="http://schemas.openxmlformats.org/officeDocument/2006/relationships/hyperlink" Target="http://www.sem-o.com/ISEM/General/--READ%20ME--%20B90%20Balancing%20Market%20-%20Transitional%20Registration%20Guid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semregistration@sem-o.com" TargetMode="External"/><Relationship Id="rId14" Type="http://schemas.openxmlformats.org/officeDocument/2006/relationships/hyperlink" Target="mailto:i-semregistration@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Ledwith</dc:creator>
  <cp:keywords/>
  <dc:description/>
  <cp:lastModifiedBy>Adam Ledwith</cp:lastModifiedBy>
  <cp:revision>1</cp:revision>
  <dcterms:created xsi:type="dcterms:W3CDTF">2017-08-04T11:33:00Z</dcterms:created>
  <dcterms:modified xsi:type="dcterms:W3CDTF">2017-08-04T11:34:00Z</dcterms:modified>
</cp:coreProperties>
</file>